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B" w:rsidRPr="00E52A4B" w:rsidRDefault="00E52A4B" w:rsidP="00E52A4B">
      <w:pPr>
        <w:pStyle w:val="Nadpis2"/>
        <w:numPr>
          <w:ilvl w:val="0"/>
          <w:numId w:val="0"/>
        </w:numPr>
        <w:ind w:left="1842" w:firstLine="282"/>
        <w:rPr>
          <w:u w:val="single"/>
        </w:rPr>
      </w:pPr>
      <w:r w:rsidRPr="00E52A4B">
        <w:rPr>
          <w:u w:val="single"/>
        </w:rPr>
        <w:t>Čestné prohlášení</w:t>
      </w:r>
    </w:p>
    <w:p w:rsidR="00E52A4B" w:rsidRPr="00E52A4B" w:rsidRDefault="00E52A4B" w:rsidP="00E52A4B"/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bookmarkStart w:id="0" w:name="OLE_LINK2"/>
      <w:bookmarkStart w:id="1" w:name="OLE_LINK1"/>
      <w:r>
        <w:t>Jméno:……………………………………………………………………………………</w:t>
      </w:r>
      <w:proofErr w:type="gramStart"/>
      <w:r>
        <w:t>…..</w:t>
      </w:r>
      <w:proofErr w:type="gramEnd"/>
    </w:p>
    <w:p w:rsidR="00E52A4B" w:rsidRDefault="00E52A4B" w:rsidP="008670ED">
      <w:pPr>
        <w:pStyle w:val="Nadpis3"/>
        <w:numPr>
          <w:ilvl w:val="0"/>
          <w:numId w:val="0"/>
        </w:numPr>
      </w:pPr>
      <w:r>
        <w:t xml:space="preserve">Prohlašuji, že po dobu </w:t>
      </w:r>
      <w:r w:rsidR="008670ED">
        <w:t xml:space="preserve">závodu </w:t>
      </w:r>
      <w:r>
        <w:t xml:space="preserve">od </w:t>
      </w:r>
      <w:proofErr w:type="gramStart"/>
      <w:r w:rsidR="00EA281D">
        <w:t>19</w:t>
      </w:r>
      <w:r>
        <w:t>.7.201</w:t>
      </w:r>
      <w:r w:rsidR="00EA281D">
        <w:t>4</w:t>
      </w:r>
      <w:proofErr w:type="gramEnd"/>
      <w:r>
        <w:t xml:space="preserve"> do </w:t>
      </w:r>
      <w:r w:rsidR="00EA281D">
        <w:t>27</w:t>
      </w:r>
      <w:r>
        <w:t>.</w:t>
      </w:r>
      <w:r w:rsidR="00FB1C2B">
        <w:t>7</w:t>
      </w:r>
      <w:r>
        <w:t>.201</w:t>
      </w:r>
      <w:r w:rsidR="00EA281D">
        <w:t>4</w:t>
      </w:r>
      <w:r>
        <w:t xml:space="preserve"> </w:t>
      </w:r>
      <w:r w:rsidR="00FB1C2B">
        <w:t xml:space="preserve">včetně </w:t>
      </w:r>
      <w:r>
        <w:t>mám u sebe následující dokumenty:</w:t>
      </w:r>
    </w:p>
    <w:bookmarkEnd w:id="0"/>
    <w:bookmarkEnd w:id="1"/>
    <w:p w:rsidR="00E52A4B" w:rsidRPr="00E52A4B" w:rsidRDefault="00E52A4B" w:rsidP="00E52A4B">
      <w:pPr>
        <w:ind w:left="0"/>
      </w:pP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platný průkaz pilota kluzáků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osvědčení o zdravotní způsobilosti (alespoň MCC2)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platný průkaz radio</w:t>
      </w:r>
      <w:r w:rsidR="00FB1C2B">
        <w:t>telef</w:t>
      </w:r>
      <w:r>
        <w:t>onisty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zápisník letů</w:t>
      </w:r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 xml:space="preserve">průkaz člena </w:t>
      </w:r>
      <w:proofErr w:type="spellStart"/>
      <w:r>
        <w:t>AeČR</w:t>
      </w:r>
      <w:proofErr w:type="spellEnd"/>
      <w:r>
        <w:t xml:space="preserve"> s platnou známkou létajícího člena pro rok 201</w:t>
      </w:r>
      <w:r w:rsidR="00EA281D">
        <w:t>4</w:t>
      </w:r>
      <w:r>
        <w:t>.</w:t>
      </w:r>
      <w:r w:rsidR="00FB1C2B">
        <w:t xml:space="preserve"> </w:t>
      </w: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palubní deník kluzáku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potvrzení o údržbě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letové způsobilosti kluzáku platné alespoň do </w:t>
      </w:r>
      <w:proofErr w:type="gramStart"/>
      <w:r w:rsidR="00EA281D">
        <w:t>27</w:t>
      </w:r>
      <w:r>
        <w:t>.7.201</w:t>
      </w:r>
      <w:r w:rsidR="00EA281D">
        <w:t>4</w:t>
      </w:r>
      <w:proofErr w:type="gramEnd"/>
      <w:r>
        <w:t>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osvědčení o zápisu kluzáku do leteckého rejstříku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zaplacení povinného ručení kluzáku alespoň na dobu soutěže (od </w:t>
      </w:r>
      <w:proofErr w:type="gramStart"/>
      <w:r w:rsidR="00EA281D">
        <w:t>19</w:t>
      </w:r>
      <w:r>
        <w:t>.7.201</w:t>
      </w:r>
      <w:r w:rsidR="00EA281D">
        <w:t>4</w:t>
      </w:r>
      <w:proofErr w:type="gramEnd"/>
      <w:r>
        <w:t xml:space="preserve"> do </w:t>
      </w:r>
      <w:r w:rsidR="00EA281D">
        <w:t>27</w:t>
      </w:r>
      <w:r>
        <w:t>.7.201</w:t>
      </w:r>
      <w:r w:rsidR="00EA281D">
        <w:t>4</w:t>
      </w:r>
      <w:r>
        <w:t>, které bude odpovídat platným právním předpisům a bude mít platnost minimálně pro území ČR + Německo.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platné povolení letadlové radiostanice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záznamník padáku s platným balením alespoň do </w:t>
      </w:r>
      <w:proofErr w:type="gramStart"/>
      <w:r w:rsidR="00EA281D">
        <w:t>27</w:t>
      </w:r>
      <w:r>
        <w:t>.7.201</w:t>
      </w:r>
      <w:r w:rsidR="00EA281D">
        <w:t>4</w:t>
      </w:r>
      <w:proofErr w:type="gramEnd"/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 xml:space="preserve">cejchovní křivku ke GNSS FR, která není starší </w:t>
      </w:r>
      <w:r w:rsidR="00EA281D">
        <w:t>5</w:t>
      </w:r>
      <w:r>
        <w:t xml:space="preserve"> let</w:t>
      </w:r>
    </w:p>
    <w:p w:rsidR="00E52A4B" w:rsidRDefault="00E52A4B" w:rsidP="00E52A4B">
      <w:pPr>
        <w:widowControl/>
        <w:ind w:left="851"/>
      </w:pPr>
      <w:r>
        <w:t xml:space="preserve">Organizátor </w:t>
      </w:r>
      <w:r w:rsidR="00FB1C2B">
        <w:t>závodů</w:t>
      </w:r>
      <w:r>
        <w:t xml:space="preserve"> doporučuje uzavřít havarijní pojištění kluzáku na dobu </w:t>
      </w:r>
      <w:r w:rsidR="00EA281D">
        <w:t>závodů</w:t>
      </w:r>
      <w:r>
        <w:t>.</w:t>
      </w:r>
    </w:p>
    <w:p w:rsidR="00E52A4B" w:rsidRDefault="00E52A4B" w:rsidP="00E52A4B">
      <w:pPr>
        <w:widowControl/>
        <w:ind w:left="851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A281D" w:rsidRDefault="00EA281D" w:rsidP="00E52A4B">
      <w:pPr>
        <w:pStyle w:val="Nadpis3"/>
        <w:numPr>
          <w:ilvl w:val="0"/>
          <w:numId w:val="0"/>
        </w:numPr>
        <w:ind w:left="1134" w:hanging="1134"/>
      </w:pPr>
      <w:r>
        <w:t>Datum:…………………………</w:t>
      </w:r>
    </w:p>
    <w:p w:rsidR="00EA281D" w:rsidRDefault="00EA281D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bookmarkStart w:id="2" w:name="_GoBack"/>
      <w:bookmarkEnd w:id="2"/>
      <w:r>
        <w:t>Podpis</w:t>
      </w:r>
      <w:r w:rsidR="00FB1C2B">
        <w:t xml:space="preserve"> pilota</w:t>
      </w:r>
      <w:r>
        <w:t>:………………………………………………………………………………..</w:t>
      </w:r>
    </w:p>
    <w:p w:rsidR="00F00C8F" w:rsidRPr="00E52A4B" w:rsidRDefault="00F00C8F" w:rsidP="00E52A4B"/>
    <w:sectPr w:rsidR="00F00C8F" w:rsidRPr="00E5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F8A10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b w:val="0"/>
        <w:i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4B"/>
    <w:rsid w:val="003B10C0"/>
    <w:rsid w:val="008670ED"/>
    <w:rsid w:val="00E52A4B"/>
    <w:rsid w:val="00EA281D"/>
    <w:rsid w:val="00F00C8F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Harašta</dc:creator>
  <cp:lastModifiedBy>Ivan Harašta</cp:lastModifiedBy>
  <cp:revision>2</cp:revision>
  <dcterms:created xsi:type="dcterms:W3CDTF">2014-07-13T13:16:00Z</dcterms:created>
  <dcterms:modified xsi:type="dcterms:W3CDTF">2014-07-13T13:16:00Z</dcterms:modified>
</cp:coreProperties>
</file>